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factors, having little or nothing to do with the ability of the computer to efficiently compile and execute the code, contribute to readability.</w:t>
        <w:br/>
        <w:t>By the late 1960s, data storage devices and computer terminals became inexpensive enough that programs could be created by typing directly into the computers.</w:t>
        <w:br/>
        <w:t>Programming languages are essential for software development.</w:t>
        <w:br/>
        <w:t>One approach popular for requirements analysis is Use Case analysis.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Different programming languages support different styles of programming (called programming paradigms).</w:t>
        <w:br/>
        <w:t xml:space="preserve"> Programs were mostly entered using punched cards or paper tape.</w:t>
        <w:br/>
        <w:br/>
        <w:t>The first compiler related tool, the A-0 System, was developed in 1952 by Grace Hopper, who also coined the term 'compiler'.</w:t>
        <w:br/>
        <w:t>Many factors, having little or nothing to do with the ability of the computer to efficiently compile and execute the code, contribute to readability.</w:t>
        <w:br/>
        <w:t>The Unified Modeling Language (UML) is a notation used for both the OOAD and MDA.</w:t>
        <w:br/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