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Use of a static code analysis tool can help detect some possible problems.</w:t>
        <w:br/>
        <w:t>For example, COBOL is still strong in corporate data centers often on large mainframe computers, Fortran in engineering applications, scripting languages in Web development, and C in embedded software.</w:t>
        <w:br/>
        <w:t>To produce machine code, the source code must either be compiled or transpiled.</w:t>
        <w:br/>
        <w:t>Assembly languages were soon developed that let the programmer specify instruction in a text format (e.g., ADD X, TOTAL), with abbreviations for each operation code and meaningful names for specifying addresses.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Use of a static code analysis tool can help detect some possible problems.</w:t>
        <w:br/>
        <w:t>In 1206, the Arab engineer Al-Jazari invented a programmable drum machine where a musical mechanical automaton could be made to play different rhythms and drum patterns, via pegs and cams.</w:t>
        <w:br/>
        <w:t>Many factors, having little or nothing to do with the ability of the computer to efficiently compile and execute the code, contribute to readability.</w:t>
        <w:br/>
        <w:t>The purpose of programming is to find a sequence of instructions that will automate the performance of a task (which can be as complex as an operating system) on a computer, often for solving a given problem.</w:t>
        <w:br/>
        <w:t xml:space="preserve"> Tasks accompanying and related to programming include testing, debugging, source code maintenance, implementation of build systems, and management of derived artifacts, such as the machine code of computer programs.</w:t>
        <w:br/>
        <w:t>Provided the functions in a library follow the appropriate run-time conventions (e.g., method of passing arguments), then these functions may be written in any other language.</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