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br/>
        <w:t>However, Charles Babbage had already written his first program for the Analytical Engine in 1837.</w:t>
        <w:br/>
        <w:t>Compiling takes the source code from a low-level programming language and converts it into machine code.</w:t>
        <w:br/>
        <w:t>When debugging the problem in a GUI, the programmer can try to skip some user interaction from the original problem description and check if remaining actions are sufficient for bugs to appear.</w:t>
        <w:br/>
        <w:t>Some languages are more prone to some kinds of faults because their specification does not require compilers to perform as much checking as other languages.</w:t>
        <w:br/>
        <w:t>It is usually easier to code in "high-level" languages than in "low-level" ones.</w:t>
        <w:br/>
        <w:t>In 1801, the Jacquard loom could produce entirely different weaves by changing the "program" – a series of pasteboard cards with holes punched in them.</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Use of a static code analysis tool can help detect some possible problems.</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