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A study found that a few simple readability transformations made code shorter and drastically reduced the time to understand 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choice of language used is subject to many considerations, such as company policy, suitability to task, availability of third-party packages, or individual preference.</w:t>
        <w:br/>
        <w:t>Text editors were also developed that allowed changes and corrections to be made much more easily than with punched cards.</w:t>
        <w:br/>
        <w:t>It affects the aspects of quality above, including portability, usability and most importantly maintainability.</w:t>
        <w:br/>
        <w:t>It affects the aspects of quality above, including portability, usability and most importantly maintainability.</w:t>
        <w:br/>
        <w:t>Provided the functions in a library follow the appropriate run-time conventions (e.g., method of passing arguments), then these functions may be written in any other language.</w:t>
        <w:br/>
        <w:t>Transpiling on the other hand, takes the source-code from a high-level programming language and converts it into bytecode.</w:t>
        <w:br/>
        <w:t>Provided the functions in a library follow the appropriate run-time conventions (e.g., method of passing arguments), then these functions may be written in any other language.</w:t>
        <w:br/>
        <w:t xml:space="preserve"> The academic field and the engineering practice of computer programming are both largely concerned with discovering and implementing the most efficient algorithms for a given class of problems.</w:t>
        <w:br/>
        <w:t>Integrated development environments (IDEs) aim to integrate all such help.</w:t>
        <w:br/>
        <w:t>The choice of language used is subject to many considerations, such as company policy, suitability to task, availability of third-party packages, or individual preference.</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