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choice of language used is subject to many considerations, such as company policy, suitability to task, availability of third-party packages, or individual preference.</w:t>
        <w:br/>
        <w:t>To produce machine code, the source code must either be compiled or transpiled.</w:t>
        <w:br/>
        <w:t>In the 9th century, the Arab mathematician Al-Kindi described a cryptographic algorithm for deciphering encrypted code, in A Manuscript on Deciphering Cryptographic Messages.</w:t>
        <w:br/>
        <w:t>There are many approaches to the Software development process.</w:t>
        <w:br/>
        <w:t>Many applications use a mix of several languages in their construction and use.</w:t>
        <w:br/>
        <w:t>To produce machine code, the source code must either be compiled or transpiled.</w:t>
        <w:br/>
        <w:t>Use of a static code analysis tool can help detect some possible problems.</w:t>
        <w:br/>
        <w:t>Unreadable code often leads to bugs, inefficiencies, and duplicated code.</w:t>
        <w:br/>
        <w:t>For example, COBOL is still strong in corporate data centers often on large mainframe computers, Fortran in engineering applications, scripting languages in Web development, and C in embedded software.</w:t>
        <w:br/>
        <w:t>Scripting and breakpointing is also part of this process.</w:t>
        <w:br/>
        <w:t>Relatedly, software engineering combines engineering techniques and principles with software development.</w:t>
        <w:br/>
        <w:t>Also, specific user environment and usage history can make it difficult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