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Compiling takes the source code from a low-level programming language and converts it into machine code.</w:t>
        <w:br/>
        <w:t>Expert programmers are familiar with a variety of well-established algorithms and their respective complexities and use this knowledge to choose algorithms that are best suited to the circumstances.</w:t>
        <w:br/>
        <w:t>The source code of a program is written in one or more languages that are intelligible to programmers, rather than machine code, which is directly executed by the central processing unit.</w:t>
        <w:br/>
        <w:t>Techniques like Code refactoring can enhance readability.</w:t>
        <w:br/>
        <w:t>Compiling takes the source code from a low-level programming language and converts it into machine code.</w:t>
        <w:br/>
        <w:t>However, because an assembly language is little more than a different notation for a machine language,  two machines with different instruction sets also have different assembly languages.</w:t>
        <w:br/>
        <w:t>He gave the first description of cryptanalysis by frequency analysis, the earliest code-breaking algorithm.</w:t>
        <w:br/>
        <w:t xml:space="preserve"> Debugging is a very important task in the software development process since having defects in a program can have significant consequences for its users.</w:t>
        <w:br/>
        <w:t xml:space="preserve"> In the 1880s, Herman Hollerith invented the concept of storing data in machine-readable form.</w:t>
        <w:br/>
        <w:t>Also, specific user environment and usage history can make it difficult to reproduce the problem.</w:t>
        <w:br/>
        <w:t xml:space="preserve"> Debugging is often done with IDEs. Standalone debuggers like GDB are also used, and these often provide less of a visual environment, usually using a command line.</w:t>
        <w:br/>
        <w:t>Programming languages are essential for software development.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