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Normally the first step in debugging is to attempt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Languages form an approximate spectrum from "low-level" to "high-level"; "low-level" languages are typically more machine-oriented and faster to execute, whereas "high-level" languages are more abstract and easier to use but execute less quickly.</w:t>
        <w:br/>
        <w:t>It is usually easier to code in "high-level" languages than in "low-level" ones.</w:t>
        <w:br/>
        <w:t>The purpose of programming is to find a sequence of instructions that will automate the performance of a task (which can be as complex as an operating system) on a computer, often for solving a given problem.</w:t>
        <w:br/>
        <w:t>However, with the concept of the stored-program computer introduced in 1949, both programs and data were stored and manipulated in the same way in computer memory.</w:t>
        <w:br/>
        <w:t>The choice of language used is subject to many considerations, such as company policy, suitability to task, availability of third-party packages, or individual preference.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Different programming languages support different styles of programming (called programming paradigms).</w:t>
        <w:br/>
        <w:t xml:space="preserve"> Some languages are very popular for particular kinds of applications, while some languages are regularly used to write many different kinds of applications.</w:t>
        <w:br/>
        <w:t>Techniques like Code refactoring can enhance readability.</w:t>
        <w:br/>
        <w:t xml:space="preserve"> Different programming languages support different styles of programming (called programming paradigms).</w:t>
        <w:br/>
        <w:t>Techniques like Code refactoring can enhance readability.</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