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It is usually easier to code in "high-level" languages than in "low-level" ones.</w:t>
        <w:br/>
        <w:t>They are the building blocks for all software, from the simplest applications to the most sophisticated ones.</w:t>
        <w:br/>
        <w:t>Also, specific user environment and usage history can make it difficult to reproduce the problem.</w:t>
        <w:br/>
        <w:t>Compiling takes the source code from a low-level programming language and converts it into machine code.</w:t>
        <w:br/>
        <w:br/>
        <w:t>Transpiling on the other hand, takes the source-code from a high-level programming language and converts it into bytecode.</w:t>
        <w:br/>
        <w:t xml:space="preserve"> Various visual programming languages have also been developed with the intent to resolve readability concerns by adopting non-traditional approaches to code structure and display.</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