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As early as the 9th century, a programmable music sequencer was invented by the Persian Banu Musa brothers, who described an automated mechanical flute player in the Book of Ingenious Devices.</w:t>
        <w:br/>
        <w:t>Compiling takes the source code from a low-level programming language and converts it into machine code.</w:t>
        <w:br/>
        <w:t>This is interpreted into machine code.</w:t>
        <w:br/>
        <w:t>Many factors, having little or nothing to do with the ability of the computer to efficiently compile and execute the code, contribute to readability.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factors, having little or nothing to do with the ability of the computer to efficiently compile and execute the code, contribute to readability.</w:t>
        <w:br/>
        <w:t>Many programmers use forms of Agile software development where the various stages of formal software development are more integrated together into short cycles that take a few weeks rather than years.</w:t>
        <w:br/>
        <w:t>Transpiling on the other hand, takes the source-code from a high-level programming language and converts it into bytecode.</w:t>
        <w:br/>
        <w:t>The choice of language used is subject to many considerations, such as company policy, suitability to task, availability of third-party packages, or individual preference.</w:t>
        <w:br/>
        <w:t>Provided the functions in a library follow the appropriate run-time conventions (e.g., method of passing arguments), then these functions may be written in any other language.</w:t>
        <w:br/>
        <w:t>A study found that a few simple readability transformations made code shorter and drastically reduced the time to understand it.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Whatever the approach to development may be, the final program must satisfy some fundamental properties.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