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The following properties are among the most important:</w:t>
        <w:br/>
        <w:br/>
        <w:t xml:space="preserve"> In computer programming, readability refers to the ease with which a human reader can comprehend the purpose, control flow, and operation of source code.</w:t>
        <w:br/>
        <w:t xml:space="preserve"> The first computer program is generally dated to 1843, when mathematician Ada Lovelace published an algorithm to calculate a sequence of Bernoulli numbers, intended to be carried out by Charles Babbage's Analytical Engine.</w:t>
        <w:br/>
        <w:t xml:space="preserve"> A similar technique used for database design is Entity-Relationship Modeling (ER Modeling).</w:t>
        <w:br/>
        <w:t>When debugging the problem in a GUI, the programmer can try to skip some user interaction from the original problem description and check if remaining actions are sufficient for bugs to appear.</w:t>
        <w:br/>
        <w:t xml:space="preserve"> Some languages are very popular for particular kinds of applications, while some languages are regularly used to write many different kinds of applications.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