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As early as the 9th century, a programmable music sequencer was invented by the Persian Banu Musa brothers, who described an automated mechanical flute player in the Book of Ingenious Devices.</w:t>
        <w:br/>
        <w:t>However, readability is more than just programming style.</w:t>
        <w:br/>
        <w:t>By the late 1960s, data storage devices and computer terminals became inexpensive enough that programs could be created by typing directly into the computers.</w:t>
        <w:br/>
        <w:t>One approach popular for requirements analysis is Use Case analysis.</w:t>
        <w:br/>
        <w:t>However, with the concept of the stored-program computer introduced in 1949, both programs and data were stored and manipulated in the same way in computer memory.</w:t>
        <w:br/>
        <w:t xml:space="preserve"> After the bug is reproduced, the input of the program may need to be simplified to make it easier to debug.</w:t>
        <w:br/>
        <w:t xml:space="preserve"> Various visual programming languages have also been developed with the intent to resolve readability concerns by adopting non-traditional approaches to code structure and display.</w:t>
        <w:br/>
        <w:t xml:space="preserve"> Various visual programming languages have also been developed with the intent to resolve readability concerns by adopting non-traditional approaches to code structure and display.</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