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This is interpreted into machine code.</w:t>
        <w:br/>
        <w:t>He gave the first description of cryptanalysis by frequency analysis, the earliest code-breaking algorithm.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 example, when a bug in a compiler can make it crash when parsing some large source file, a simplification of the test case that results in only few lines from the original source file can be sufficient to reproduce the same crash.</w:t>
        <w:br/>
        <w:t>Programming involves tasks such as analysis, generating algorithms, profiling algorithms' accuracy and resource consumption, and the implementation of algorithms (usually in a particular programming language, commonly referred to as coding).</w:t>
        <w:br/>
        <w:t>Expert programmers are familiar with a variety of well-established algorithms and their respective complexities and use this knowledge to choose algorithms that are best suited to the circumstances.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To produce machine code, the source code must either be compiled or transpiled.</w:t>
        <w:br/>
        <w:t>Text editors were also developed that allowed changes and corrections to be made much more easily than with punched cards.</w:t>
        <w:br/>
        <w:t>The choice of language used is subject to many considerations, such as company policy, suitability to task, availability of third-party packages, or individual preference.</w:t>
        <w:br/>
        <w:t>Some languages are more prone to some kinds of faults because their specification does not require compilers to perform as much checking as other languages.</w:t>
        <w:br/>
        <w:t>Compilers harnessed the power of computers to make programming easier by allowing programmers to specify calculations by entering a formula using infix notation.</w:t>
        <w:br/>
        <w:t>The source code of a program is written in one or more languages that are intelligible to programmers, rather than machine code, which is directly executed by the central processing unit.</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