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 study found that a few simple readability transformations made code shorter and drastically reduced the time to understand 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When debugging the problem in a GUI, the programmer can try to skip some user interaction from the original problem description and check if remaining actions are sufficient for bugs to appear.</w:t>
        <w:br/>
        <w:t>Some languages are more prone to some kinds of faults because their specification does not require compilers to perform as much checking as other languages.</w:t>
        <w:br/>
        <w:t>Many applications use a mix of several languages in their construction and use.</w:t>
        <w:br/>
        <w:t xml:space="preserve"> Machine code was the language of early programs, written in the instruction set of the particular machine, often in binary notation.</w:t>
        <w:br/>
        <w:t>Some languages are more prone to some kinds of faults because their specification does not require compilers to perform as much checking as other languages.</w:t>
        <w:br/>
        <w:t xml:space="preserve"> Whatever the approach to development may be, the final program must satisfy some fundamental properties.</w:t>
        <w:br/>
        <w:t>To produce machine code, the source code must either be compiled or transpiled.</w:t>
        <w:br/>
        <w:t xml:space="preserve"> Code-breaking algorithms have also existed for centuries.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In the 1880s, Herman Hollerith invented the concept of storing data in machine-readable form.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