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Also, specific user environment and usage history can make it difficult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applications use a mix of several languages in their construction and use.</w:t>
        <w:br/>
        <w:t>Many applications use a mix of several languages in their construction and use.</w:t>
        <w:br/>
        <w:t>Some text editors such as Emacs allow GDB to be invoked through them, to provide a visual environment.</w:t>
        <w:br/>
        <w:t>He gave the first description of cryptanalysis by frequency analysis, the earliest code-breaking algorithm.</w:t>
        <w:br/>
        <w:t>Use of a static code analysis tool can help detect some possible problems.</w:t>
        <w:br/>
        <w:t>Techniques like Code refactoring can enhance readability.</w:t>
        <w:br/>
        <w:t>In 1801, the Jacquard loom could produce entirely different weaves by changing the "program" – a series of pasteboard cards with holes punched in them.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Transpiling on the other hand, takes the source-code from a high-level programming language and converts it into bytecode.</w:t>
        <w:br/>
        <w:t xml:space="preserve"> In the 1880s, Herman Hollerith invented the concept of storing data in machine-readable form.</w:t>
        <w:br/>
        <w:t>It is usually easier to code in "high-level" languages than in "low-level" ones.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