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Use of a static code analysis tool can help detect some possible problems.</w:t>
        <w:br/>
        <w:t>The choice of language used is subject to many considerations, such as company policy, suitability to task, availability of third-party packages, or individual preference.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1801, the Jacquard loom could produce entirely different weaves by changing the "program" – a series of pasteboard cards with holes punched in them.</w:t>
        <w:br/>
        <w:t>A study found that a few simple readability transformations made code shorter and drastically reduced the time to understand it.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Use of a static code analysis tool can help detect some possible problems.</w:t>
        <w:br/>
        <w:t>As early as the 9th century, a programmable music sequencer was invented by the Persian Banu Musa brothers, who described an automated mechanical flute player in the Book of Ingenious Devices.</w:t>
        <w:br/>
        <w:t>Compilers harnessed the power of computers to make programming easier by allowing programmers to specify calculations by entering a formula using infix notation.</w:t>
        <w:br/>
        <w:br/>
        <w:t>However, because an assembly language is little more than a different notation for a machine language,  two machines with different instruction sets also have different assembly languages.</w:t>
        <w:br/>
        <w:br/>
        <w:t>The first compiler related tool, the A-0 System, was developed in 1952 by Grace Hopper, who also coined the term 'compiler'.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