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By the late 1960s, data storage devices and computer terminals became inexpensive enough that programs could be created by typing directly into the computers.</w:t>
        <w:br/>
        <w:t>Also, specific user environment and usage history can make it difficult to reproduce the problem.</w:t>
        <w:br/>
        <w:t>There exist a lot of different approaches for each of those tasks.</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Some text editors such as Emacs allow GDB to be invoked through them, to provide a visual environment.</w:t>
        <w:br/>
        <w:t>He gave the first description of cryptanalysis by frequency analysis, the earliest code-breaking algorithm.</w:t>
        <w:br/>
        <w:t>This can be a non-trivial task, for example as with parallel processes or some unusual software bugs.</w:t>
        <w:br/>
        <w:t xml:space="preserve"> Different programming languages support different styles of programming (called programming paradigms).</w:t>
        <w:br/>
        <w:t>Many factors, having little or nothing to do with the ability of the computer to efficiently compile and execute the code, contribute to readability.</w:t>
        <w:br/>
        <w:t xml:space="preserve"> Readability is important because programmers spend the majority of their time reading, trying to understand, reusing and modifying existing source code, rather than writing new source code.</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