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Transpiling on the other hand, takes the source-code from a high-level programming language and converts it into bytecode.</w:t>
        <w:br/>
        <w:t>Languages form an approximate spectrum from "low-level" to "high-level"; "low-level" languages are typically more machine-oriented and faster to execute, whereas "high-level" languages are more abstract and easier to use but execute less quickly.</w:t>
        <w:br/>
        <w:t>Text editors were also developed that allowed changes and corrections to be made much more easily than with punched cards.</w:t>
        <w:b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br/>
        <w:t>For example, COBOL is still strong in corporate data centers often on large mainframe computers, Fortran in engineering applications, scripting languages in Web development, and C in embedded software.</w:t>
        <w:br/>
        <w:t>Unreadable code often leads to bugs, inefficiencies, and duplicated code.</w:t>
        <w:br/>
        <w:t>He gave the first description of cryptanalysis by frequency analysis, the earliest code-breaking algorithm.</w:t>
        <w:b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Unified Modeling Language (UML) is a notation used for both the OOAD and MDA.</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