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Provided the functions in a library follow the appropriate run-time conventions (e.g., method of passing arguments), then these functions may be written in any other language.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Charles Babbage had already written his first program for the Analytical Engine in 1837.</w:t>
        <w:br/>
        <w:t>Compilers harnessed the power of computers to make programming easier by allowing programmers to specify calculations by entering a formula using infix notation.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Ideally, the programming language best suited for the task at hand will be selected.</w:t>
        <w:br/>
        <w:t>Expert programmers are familiar with a variety of well-established algorithms and their respective complexities and use this knowledge to choose algorithms that are best suited to the circumstances.</w:t>
        <w:br/>
        <w:t>This can be a non-trivial task, for example as with parallel processes or some unusual software bugs.</w:t>
        <w:br/>
        <w:t>Use of a static code analysis tool can help detect some possible problems.</w:t>
        <w:br/>
        <w:t xml:space="preserve"> It is very difficult to determine what are the most popular modern programming languages.</w:t>
        <w:br/>
        <w:t xml:space="preserve"> Computer programmers are those who write computer software.</w:t>
        <w:br/>
        <w:t>Many programmers use forms of Agile software development where the various stages of formal software development are more integrated together into short cycles that take a few weeks rather than years.</w:t>
        <w:br/>
        <w:t>Relatedly, software engineering combines engineering techniques and principles with software development.</w:t>
        <w:br/>
        <w:t>In 1801, the Jacquard loom could produce entirely different weaves by changing the "program" – a series of pasteboard cards with holes punched in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