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One approach popular for requirements analysis is Use Case analysis.</w:t>
        <w:br/>
        <w:t>The choice of language used is subject to many considerations, such as company policy, suitability to task, availability of third-party packages, or individual preference.</w:t>
        <w:br/>
        <w:t>Expert programmers are familiar with a variety of well-established algorithms and their respective complexities and use this knowledge to choose algorithms that are best suited to the circumstances.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Text editors were also developed that allowed changes and corrections to be made much more easily than with punched cards.</w:t>
        <w:br/>
        <w:t>In the 9th century, the Arab mathematician Al-Kindi described a cryptographic algorithm for deciphering encrypted code, in A Manuscript on Deciphering Cryptographic Messages.</w:t>
        <w:br/>
        <w:t>Ideally, the programming language best suited for the task at hand will be selected.</w:t>
        <w:br/>
        <w:t>Techniques like Code refactoring can enhance readability.</w:t>
        <w:br/>
        <w:t>This can be a non-trivial task, for example as with parallel processes or some unusual software bugs.</w:t>
        <w:br/>
        <w:t>The Unified Modeling Language (UML) is a notation used for both the OOAD and MDA.</w:t>
        <w:br/>
        <w:t xml:space="preserve"> In the 1880s, Herman Hollerith invented the concept of storing data in machine-readable form.</w:t>
        <w:br/>
        <w:t>This can be a non-trivial task, for example as with parallel processes or some unusual software bugs.</w:t>
        <w:br/>
        <w:t xml:space="preserve"> Code-breaking algorithms have also existed for centuries.</w:t>
        <w:br/>
        <w:t>Unreadable code often leads to bugs, inefficiencies, and duplicated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