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There exist a lot of different approaches for each of those tasks.</w:t>
        <w:br/>
        <w:t>Scripting and breakpointing is also part of this process.</w:t>
        <w:br/>
        <w:t>He gave the first description of cryptanalysis by frequency analysis, the earliest code-breaking algorithm.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In 1801, the Jacquard loom could produce entirely different weaves by changing the "program" – a series of pasteboard cards with holes punched in them.</w:t>
        <w:br/>
        <w:t>Compilers harnessed the power of computers to make programming easier by allowing programmers to specify calculations by entering a formula using infix notation.</w:t>
        <w:br/>
        <w:t>Provided the functions in a library follow the appropriate run-time conventions (e.g., method of passing arguments), then these functions may be written in any other language.</w:t>
        <w:br/>
        <w:t>They are the building blocks for all software, from the simplest applications to the most sophisticated ones.</w:t>
        <w:br/>
        <w:t>The source code of a program is written in one or more languages that are intelligible to programmers, rather than machine code, which is directly executed by the central processing unit.</w:t>
        <w:br/>
        <w:t>However, because an assembly language is little more than a different notation for a machine language,  two machines with different instruction sets also have different assembly languages.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