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Transpiling on the other hand, takes the source-code from a high-level programming language and converts it into bytecode.</w:t>
        <w:br/>
        <w:t>They are the building blocks for all software, from the simplest applications to the most sophisticated ones.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A study found that a few simple readability transformations made code shorter and drastically reduced the time to understand it.</w:t>
        <w:br/>
        <w:t>There are many approaches to the Software development process.</w:t>
        <w:br/>
        <w:t>Many factors, having little or nothing to do with the ability of the computer to efficiently compile and execute the code, contribute to readability.</w:t>
        <w:br/>
        <w:t>The source code of a program is written in one or more languages that are intelligible to programmers, rather than machine code, which is directly executed by the central processing unit.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Unreadable code often leads to bugs, inefficiencies, and duplicated code.</w:t>
        <w:br/>
        <w:t>Ideally, the programming language best suited for the task at hand will be selected.</w:t>
        <w:br/>
        <w:t>Assembly languages were soon developed that let the programmer specify instruction in a text format (e.g., ADD X, TOTAL), with abbreviations for each operation code and meaningful names for specifying addresses.</w:t>
        <w:br/>
        <w:t>However, readability is more than just programming style.</w:t>
        <w:br/>
        <w:t>In 1801, the Jacquard loom could produce entirely different weaves by changing the "program" – a series of pasteboard cards with holes punched in them.</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