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This can be a non-trivial task, for example as with parallel processes or some unusual software bugs.</w:t>
        <w:br/>
        <w:t>Integrated development environments (IDEs) aim to integrate all such help.</w:t>
        <w:br/>
        <w:t>For example, COBOL is still strong in corporate data centers often on large mainframe computers, Fortran in engineering applications, scripting languages in Web development, and C in embedded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br/>
        <w:t>However, readability is more than just programming style.</w:t>
        <w:br/>
        <w:t>To produce machine code, the source code must either be compiled or transpiled.</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