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Languages form an approximate spectrum from "low-level" to "high-level"; "low-level" languages are typically more machine-oriented and faster to execute, whereas "high-level" languages are more abstract and easier to use but execute less quickly.</w:t>
        <w:b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However, because an assembly language is little more than a different notation for a machine language,  two machines with different instruction sets also have different assembly languages.</w:t>
        <w:br/>
        <w:t>Trade-offs from this ideal involve finding enough programmers who know the language to build a team, the availability of compilers for that language, and the efficiency with which programs written in a given language execute.</w:t>
        <w:br/>
        <w:t>When debugging the problem in a GUI, the programmer can try to skip some user interaction from the original problem description and check if remaining actions are sufficient for bugs to appear.</w:t>
        <w:br/>
        <w:t>Transpiling on the other hand, takes the source-code from a high-level programming language and converts it into bytecode.</w:t>
        <w:br/>
        <w:t>Many programmers use forms of Agile software development where the various stages of formal software development are more integrated together into short cycles that take a few weeks rather than years.</w:t>
        <w:br/>
        <w:t xml:space="preserve"> Tasks accompanying and related to programming include testing, debugging, source code maintenance, implementation of build systems, and management of derived artifacts, such as the machine code of computer programs.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