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A study found that a few simple readability transformations made code shorter and drastically reduced the time to understand it.</w:t>
        <w:br/>
        <w:t>He gave the first description of cryptanalysis by frequency analysis, the earliest code-breaking algorithm.</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FORTRAN, the first widely used high-level language to have a functional implementation, came out in 1957, and many other languages were soon developed—in particular, COBOL aimed at commercial data processing, and Lisp for computer research.</w:t>
        <w:br/>
        <w:t>This can be a non-trivial task, for example as with parallel processes or some unusual software bugs.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Transpiling on the other hand, takes the source-code from a high-level programming language and converts it into bytecode.</w:t>
        <w:br/>
        <w:t>Compiling takes the source code from a low-level programming language and converts it into machine code.</w:t>
        <w:br/>
        <w:t>Programming involves tasks such as analysis, generating algorithms, profiling algorithms' accuracy and resource consumption, and the implementation of algorithms (usually in a particular programming language, commonly referred to as coding).</w:t>
        <w:br/>
        <w:t xml:space="preserve"> Implementation techniques include imperative languages (object-oriented or procedural), functional languages, and logic languages.</w:t>
        <w:br/>
        <w:t>He gave the first description of cryptanalysis by frequency analysis, the earliest code-breaking algorithm.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