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Assembly languages were soon developed that let the programmer specify instruction in a text format (e.g., ADD X, TOTAL), with abbreviations for each operation code and meaningful names for specifying addresses.</w:t>
        <w:b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br/>
        <w:t>Programming involves tasks such as analysis, generating algorithms, profiling algorithms' accuracy and resource consumption, and the implementation of algorithms (usually in a particular programming language, commonly referred to as coding).</w:t>
        <w:br/>
        <w:t>For example, when a bug in a compiler can make it crash when parsing some large source file, a simplification of the test case that results in only few lines from the original source file can be sufficient to reproduce the same crash.</w:t>
        <w:br/>
        <w:t>Scripting and breakpointing is also part of this process.</w:t>
        <w:b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Languages form an approximate spectrum from "low-level" to "high-level"; "low-level" languages are typically more machine-oriented and faster to execute, whereas "high-level" languages are more abstract and easier to use but execute less quickly.</w:t>
        <w:br/>
        <w:t>Many factors, having little or nothing to do with the ability of the computer to efficiently compile and execute the code, contribute to readability.</w:t>
        <w:br/>
        <w:t>Text editors were also developed that allowed changes and corrections to be made much more easily than with punched cards.</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