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Trial-and-error/divide-and-conquer is needed: the programmer will try to remove some parts of the original test case and check if the problem still exists.</w:t>
        <w:br/>
        <w:t>Languages form an approximate spectrum from "low-level" to "high-level"; "low-level" languages are typically more machine-oriented and faster to execute, whereas "high-level" languages are more abstract and easier to use but execute less quickly.</w:t>
        <w:br/>
        <w:t>Scripting and breakpointing is also part of this process.</w:t>
        <w:br/>
        <w:t>The source code of a program is written in one or more languages that are intelligible to programmers, rather than machine code, which is directly executed by the central processing unit.</w:t>
        <w:br/>
        <w:t>It affects the aspects of quality above, including portability, usability and most importantly maintainability.</w:t>
        <w:br/>
        <w:t>Use of a static code analysis tool can help detect some possible problems.</w:t>
        <w:br/>
        <w:t>Some languages are more prone to some kinds of faults because their specification does not require compilers to perform as much checking as other languages.</w:t>
        <w:br/>
        <w:t xml:space="preserve"> Machine code was the language of early programs, written in the instruction set of the particular machine, often in binary notation.</w:t>
        <w:br/>
        <w:t>When debugging the problem in a GUI, the programmer can try to skip some user interaction from the original problem description and check if remaining actions are sufficient for bugs to appear.</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