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Compiling takes the source code from a low-level programming language and converts it into machine code.</w:t>
        <w:br/>
        <w:t>It affects the aspects of quality above, including portability, usability and most importantly maintainability.</w:t>
        <w:br/>
        <w:t>Some text editors such as Emacs allow GDB to be invoked through them, to provide a visual environment.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with the concept of the stored-program computer introduced in 1949, both programs and data were stored and manipulated in the same way in computer memory.</w:t>
        <w:br/>
        <w:t>Provided the functions in a library follow the appropriate run-time conventions (e.g., method of passing arguments), then these functions may be written in any other language.</w:t>
        <w:br/>
        <w:t>This can be a non-trivial task, for example as with parallel processes or some unusual software bugs.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 xml:space="preserve"> Programs were mostly entered using punched cards or paper tape.</w:t>
        <w:br/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