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However, Charles Babbage had already written his first program for the Analytical Engine in 1837.</w:t>
        <w:br/>
        <w:t>Provided the functions in a library follow the appropriate run-time conventions (e.g., method of passing arguments), then these functions may be written in any other language.</w:t>
        <w:br/>
        <w:t>Text editors were also developed that allowed changes and corrections to be made much more easily than with punched cards.</w:t>
        <w:br/>
        <w:t>For example, COBOL is still strong in corporate data centers often on large mainframe computers, Fortran in engineering applications, scripting languages in Web development, and C in embedded software.</w:t>
        <w:br/>
        <w:t>Unreadable code often leads to bugs, inefficiencies, and duplicated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text editors such as Emacs allow GDB to be invoked through them, to provide a visual environment.</w:t>
        <w:br/>
        <w:t>In 1801, the Jacquard loom could produce entirely different weaves by changing the "program" – a series of pasteboard cards with holes punched in them.</w:t>
        <w:br/>
        <w:t>Expert programmers are familiar with a variety of well-established algorithms and their respective complexities and use this knowledge to choose algorithms that are best suited to the circumstances.</w:t>
        <w:br/>
        <w:t>When debugging the problem in a GUI, the programmer can try to skip some user interaction from the original problem description and check if remaining actions are sufficient for bugs to appear.</w:t>
        <w:br/>
        <w:t>One approach popular for requirements analysis is Use Case analysis.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Allen Downey, in his book How To Think Like A Computer Scientist, writes:</w:t>
        <w:br/>
        <w:t xml:space="preserve"> Many computer languages provide a mechanism to call functions provided by shared libraries.</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