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However, Charles Babbage had already written his first program for the Analytical Engine in 1837.</w:t>
        <w:br/>
        <w:t>In 1206, the Arab engineer Al-Jazari invented a programmable drum machine where a musical mechanical automaton could be made to play different rhythms and drum patterns, via pegs and cams.</w:t>
        <w:br/>
        <w:t>Also, those involved with software development may at times engage in reverse engineering, which is the practice of seeking to understand an existing program so as to re-implement its function in some way.</w:t>
        <w:br/>
        <w:t>Trial-and-error/divide-and-conquer is needed: the programmer will try to remove some parts of the original test case and check if the problem still exists.</w:t>
        <w:br/>
        <w:t>For example, COBOL is still strong in corporate data centers often on large mainframe computers, Fortran in engineering applications, scripting languages in Web development, and C in embedded software.</w:t>
        <w:br/>
        <w:t>Unreadable code often leads to bugs, inefficiencies, and duplicated code.</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However, because an assembly language is little more than a different notation for a machine language,  two machines with different instruction sets also have different assembly languages.</w:t>
        <w:br/>
        <w:t>For example, COBOL is still strong in corporate data centers often on large mainframe computers, Fortran in engineering applications, scripting languages in Web development, and C in embedded software.</w:t>
        <w:br/>
        <w:t>FORTRAN, the first widely used high-level language to have a functional implementation, came out in 1957, and many other languages were soon developed—in particular, COBOL aimed at commercial data processing, and Lisp for computer research.</w:t>
        <w:br/>
        <w:t>There exist a lot of different approaches for each of those tasks.</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