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Use of a static code analysis tool can help detect some possible problems.</w:t>
        <w:br/>
        <w:t>Text editors were also developed that allowed changes and corrections to be made much more easily than with punched cards.</w:t>
        <w:br/>
        <w:t>There are many approaches to the Software development process.</w:t>
        <w:br/>
        <w:t>In the 9th century, the Arab mathematician Al-Kindi described a cryptographic algorithm for deciphering encrypted code, in A Manuscript on Deciphering Cryptographic Messages.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with the concept of the stored-program computer introduced in 1949, both programs and data were stored and manipulated in the same way in computer memory.</w:t>
        <w:br/>
        <w:t>By the late 1960s, data storage devices and computer terminals became inexpensive enough that programs could be created by typing directly into the computers.</w:t>
        <w:br/>
        <w:t>The source code of a program is written in one or more languages that are intelligible to programmers, rather than machine code, which is directly executed by the central processing unit.</w:t>
        <w:br/>
        <w:t>Proficient programming thus usually requires expertise in several different subjects, including knowledge of the application domain, specialized algorithms, and formal logic.</w:t>
        <w:br/>
        <w:t xml:space="preserve"> Popular modeling techniques include Object-Oriented Analysis and Design (OOAD) and Model-Driven Architecture (MDA).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Compilers harnessed the power of computers to make programming easier by allowing programmers to specify calculations by entering a formula using infix notation.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