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1206, the Arab engineer Al-Jazari invented a programmable drum machine where a musical mechanical automaton could be made to play different rhythms and drum patterns, via pegs and cams.</w:t>
        <w:br/>
        <w:t>For example, COBOL is still strong in corporate data centers often on large mainframe computers, Fortran in engineering applications, scripting languages in Web development, and C in embedded software.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However, Charles Babbage had already written his first program for the Analytical Engine in 1837.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Unreadable code often leads to bugs, inefficiencies, and duplicated code.</w:t>
        <w:br/>
        <w:t>However, readability is more than just programming style.</w:t>
        <w:br/>
        <w:t>The choice of language used is subject to many considerations, such as company policy, suitability to task, availability of third-party packages, or individual preference.</w:t>
        <w:br/>
        <w:t>The choice of language used is subject to many considerations, such as company policy, suitability to task, availability of third-party packages, or individual preference.</w:t>
        <w:br/>
        <w:t>This can be a non-trivial task, for example as with parallel processes or some unusual software bugs.</w:t>
        <w:br/>
        <w:t>One approach popular for requirements analysis is Use Case analysis.</w:t>
        <w:br/>
        <w:t xml:space="preserve"> Computer programmers are those who write computer software.</w:t>
        <w:br/>
        <w:t xml:space="preserve"> Programs were mostly entered using punched cards or paper tape.</w:t>
        <w:br/>
        <w:t>Some text editors such as Emacs allow GDB to be invoked through them, to provide a visual environment.</w:t>
        <w:br/>
        <w:t>This is interpreted into machine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