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Some languages are more prone to some kinds of faults because their specification does not require compilers to perform as much checking as other languages.</w:t>
        <w:br/>
        <w:t>Use of a static code analysis tool can help detect some possible problems.</w:t>
        <w:br/>
        <w:t>Some text editors such as Emacs allow GDB to be invoked through them, to provide a visual environment.</w:t>
        <w:br/>
        <w:t>Unreadable code often leads to bugs, inefficiencies, and duplicated code.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t>Relatedly, software engineering combines engineering techniques and principles with software development.</w:t>
        <w:br/>
        <w:t>To produce machine code, the source code must either be compiled or transpiled.</w:t>
        <w:br/>
        <w:t>Scripting and breakpointing is also part of this process.</w:t>
        <w:br/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