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  <w:br/>
        <w:t>Some text editors such as Emacs allow GDB to be invoked through them, to provide a visual environment.</w:t>
        <w:br/>
        <w:t>It affects the aspects of quality above, including portability, usability and most importantly maintainability.</w:t>
        <w:br/>
        <w:t>In the 9th century, the Arab mathematician Al-Kindi described a cryptographic algorithm for deciphering encrypted code, in A Manuscript on Deciphering Cryptographic Messages.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To produce machine code, the source code must either be compiled or transpiled.</w:t>
        <w:br/>
        <w:t>There are many approaches to the Software development process.</w:t>
        <w:br/>
        <w:t>Compiling takes the source code from a low-level programming language and converts it into machine code.</w:t>
        <w:br/>
        <w:t>There exist a lot of different approaches for each of those tasks.</w:t>
        <w:br/>
        <w:t>Ideally, the programming language best suited for the task at hand will be selected.</w:t>
        <w:br/>
        <w:t>Compiling takes the source code from a low-level programming language and converts it into machine code.</w:t>
        <w:br/>
        <w:t>A study found that a few simple readability transformations made code shorter and drastically reduced the time to understand it.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