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He gave the first description of cryptanalysis by frequency analysis, the earliest code-breaking algorithm.</w:t>
        <w:br/>
        <w:t>Many programmers use forms of Agile software development where the various stages of formal software development are more integrated together into short cycles that take a few weeks rather than years.</w:t>
        <w:br/>
        <w:t>FORTRAN, the first widely used high-level language to have a functional implementation, came out in 1957, and many other languages were soon developed—in particular, COBOL aimed at commercial data processing, and Lisp for computer research.</w:t>
        <w:br/>
        <w:t>In 1801, the Jacquard loom could produce entirely different weaves by changing the "program" – a series of pasteboard cards with holes punched in them.</w:t>
        <w:br/>
        <w:t>When debugging the problem in a GUI, the programmer can try to skip some user interaction from the original problem description and check if remaining actions are sufficient for bugs to appear.</w:t>
        <w:br/>
        <w:t>Programming involves tasks such as analysis, generating algorithms, profiling algorithms' accuracy and resource consumption, and the implementation of algorithms (usually in a particular programming language, commonly referred to as coding).</w:t>
        <w:br/>
        <w:t>The choice of language used is subject to many considerations, such as company policy, suitability to task, availability of third-party packages, or individual preference.</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The choice of language used is subject to many considerations, such as company policy, suitability to task, availability of third-party packages, or individual preference.</w:t>
        <w:br/>
        <w:t xml:space="preserve"> Machine code was the language of early programs, written in the instruction set of the particular machine, often in binary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