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It is usually easier to code in "high-level" languages than in "low-level" ones.</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However, because an assembly language is little more than a different notation for a machine language,  two machines with different instruction sets also have different assembly languages.</w:t>
        <w:br/>
        <w:t>Techniques like Code refactoring can enhance readability.</w:t>
        <w:br/>
        <w:t>The source code of a program is written in one or more languages that are intelligible to programmers, rather than machine code, which is directly executed by the central processing unit.</w:t>
        <w:br/>
        <w:t>By the late 1960s, data storage devices and computer terminals became inexpensive enough that programs could be created by typing directly into the computers.</w:t>
        <w:br/>
        <w:t>However, with the concept of the stored-program computer introduced in 1949, both programs and data were stored and manipulated in the same way in computer memory.</w:t>
        <w:br/>
        <w:t>The Unified Modeling Language (UML) is a notation used for both the OOAD and MDA.</w:t>
        <w:br/>
        <w:t xml:space="preserve"> Code-breaking algorithms have also existed for centuries.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