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They are the building blocks for all software, from the simplest applications to the most sophisticated ones.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>This can be a non-trivial task, for example as with parallel processes or some unusual software bugs.</w:t>
        <w:br/>
        <w:t>This is interpreted into machine code.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Normally the first step in debugging is to attempt to reproduce the problem.</w:t>
        <w:br/>
        <w:t xml:space="preserve"> Various visual programming languages have also been developed with the intent to resolve readability concerns by adopting non-traditional approaches to code structure and display.</w:t>
        <w:br/>
        <w:t>Provided the functions in a library follow the appropriate run-time conventions (e.g., method of passing arguments), then these functions may be written in any other language.</w:t>
        <w:br/>
        <w:t xml:space="preserve"> Some languages are very popular for particular kinds of applications, while some languages are regularly used to write many different kinds of applications.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