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Proficient programming thus usually requires expertise in several different subjects, including knowledge of the application domain, specialized algorithms, and formal logic.</w:t>
        <w:br/>
        <w:t>To produce machine code, the source code must either be compiled or transpiled.</w:t>
        <w:br/>
        <w:t>Transpiling on the other hand, takes the source-code from a high-level programming language and converts it into bytecode.</w:t>
        <w:br/>
        <w:t>The source code of a program is written in one or more languages that are intelligible to programmers, rather than machine code, which is directly executed by the central processing unit.</w:t>
        <w:br/>
        <w:t>For example, when a bug in a compiler can make it crash when parsing some large source file, a simplification of the test case that results in only few lines from the original source file can be sufficient to reproduce the same crash.</w:t>
        <w:br/>
        <w:t>Many applications use a mix of several languages in their construction and use.</w:t>
        <w:br/>
        <w:t>Also, specific user environment and usage history can make it difficult to reproduce the problem.</w:t>
        <w:br/>
        <w:t xml:space="preserve"> In the 1880s, Herman Hollerith invented the concept of storing data in machine-readable form.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 first computer program is generally dated to 1843, when mathematician Ada Lovelace published an algorithm to calculate a sequence of Bernoulli numbers, intended to be carried out by Charles Babbage's Analytical Engine.</w:t>
        <w:br/>
        <w:t xml:space="preserve"> High-level languages made the process of developing a program simpler and more understandable, and less bound to the underlying hardware.</w:t>
        <w:br/>
        <w:t>The Unified Modeling Language (UML) is a notation used for both the OOAD and MDA.</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