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Unreadable code often leads to bugs, inefficiencies, and duplicated code.</w:t>
        <w:br/>
        <w:t>It is usually easier to code in "high-level" languages than in "low-level" ones.</w:t>
        <w:br/>
        <w:t>Proficient programming thus usually requires expertise in several different subjects, including knowledge of the application domain, specialized algorithms, and formal logic.</w:t>
        <w:br/>
        <w:t>Proficient programming thus usually requires expertise in several different subjects, including knowledge of the application domain, specialized algorithms, and formal logic.</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specific user environment and usage history can make it difficult to reproduce the problem.</w:t>
        <w:br/>
        <w:t>It affects the aspects of quality above, including portability, usability and most importantly maintainability.</w:t>
        <w:br/>
        <w:t>Text editors were also developed that allowed changes and corrections to be made much more easily than with punched cards.</w:t>
        <w:br/>
        <w:t>However, with the concept of the stored-program computer introduced in 1949, both programs and data were stored and manipulated in the same way in computer memory.</w:t>
        <w:br/>
        <w:t>However, readability is more than just programming style.</w:t>
        <w:br/>
        <w:t>Some languages are more prone to some kinds of faults because their specification does not require compilers to perform as much checking as other languages.</w:t>
        <w:br/>
        <w:t>Transpiling on the other hand, takes the source-code from a high-level programming language and converts it into bytecode.</w:t>
        <w:br/>
        <w:t>Many programmers use forms of Agile software development where the various stages of formal software development are more integrated together into short cycles that take a few weeks rather than years.</w:t>
        <w:br/>
        <w:t>Relatedly, software engineering combines engineering techniques and principles with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