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Languages form an approximate spectrum from "low-level" to "high-level"; "low-level" languages are typically more machine-oriented and faster to execute, whereas "high-level" languages are more abstract and easier to use but execute less quickly.</w:t>
        <w:br/>
        <w:t>They are the building blocks for all software, from the simplest applications to the most sophisticated ones.</w:t>
        <w:br/>
        <w:t>It is usually easier to code in "high-level" languages than in "low-level" ones.</w:t>
        <w:br/>
        <w:t>Transpiling on the other hand, takes the source-code from a high-level programming language and converts it into bytecode.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Charles Babbage had already written his first program for the Analytical Engine in 1837.</w:t>
        <w:br/>
        <w:t>Some text editors such as Emacs allow GDB to be invoked through them, to provide a visual environment.</w:t>
        <w:br/>
        <w:t>Assembly languages were soon developed that let the programmer specify instruction in a text format (e.g., ADD X, TOTAL), with abbreviations for each operation code and meaningful names for specifying addresses.</w:t>
        <w:br/>
        <w:t>Transpiling on the other hand, takes the source-code from a high-level programming language and converts it into bytecode.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Provided the functions in a library follow the appropriate run-time conventions (e.g., method of passing arguments), then these functions may be written in any other language.</w:t>
        <w:br/>
        <w:t>Normally the first step in debugging is to attempt to reproduce the problem.</w:t>
        <w:br/>
        <w:t xml:space="preserve"> Computer programmers are those who write computer software.</w:t>
        <w:br/>
        <w:t xml:space="preserve"> A similar technique used for database design is Entity-Relationship Modeling (ER Modeling).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