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They are the building blocks for all software, from the simplest applications to the most sophisticated ones.</w:t>
        <w:br/>
        <w:t>The following properties are among the most important:</w:t>
        <w:br/>
        <w:br/>
        <w:t xml:space="preserve"> In computer programming, readability refers to the ease with which a human reader can comprehend the purpose, control flow, and operation of source code.</w:t>
        <w:br/>
        <w:t>Use of a static code analysis tool can help detect some possible problems.</w:t>
        <w:br/>
        <w:t>By the late 1960s, data storage devices and computer terminals became inexpensive enough that programs could be created by typing directly into the computers.</w:t>
        <w:br/>
        <w:t>Use of a static code analysis tool can help detect some possible problems.</w:t>
        <w:br/>
        <w:t>Trial-and-error/divide-and-conquer is needed: the programmer will try to remove some parts of the original test case and check if the problem still exists.</w:t>
        <w:br/>
        <w:t xml:space="preserve"> Various visual programming languages have also been developed with the intent to resolve readability concerns by adopting non-traditional approaches to code structure and display.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