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One approach popular for requirements analysis is Use Case analysis.</w:t>
        <w:br/>
        <w:t>However, with the concept of the stored-program computer introduced in 1949, both programs and data were stored and manipulated in the same way in computer memory.</w:t>
        <w:br/>
        <w:t>However, because an assembly language is little more than a different notation for a machine language,  two machines with different instruction sets also have different assembly languages.</w:t>
        <w:br/>
        <w:t>Compilers harnessed the power of computers to make programming easier by allowing programmers to specify calculations by entering a formula using infix notation.</w:t>
        <w:br/>
        <w:t>A study found that a few simple readability transformations made code shorter and drastically reduced the time to understand it.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those involved with software development may at times engage in reverse engineering, which is the practice of seeking to understand an existing program so as to re-implement its function in some way.</w:t>
        <w:br/>
        <w:t>Compiling takes the source code from a low-level programming language and converts it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Programmable devices have existed for centuries.</w:t>
        <w:br/>
        <w:t>Integrated development environments (IDEs) aim to integrate all such help.</w:t>
        <w:br/>
        <w:t>Scripting and breakpointing is also part of this process.</w:t>
        <w:br/>
        <w:t xml:space="preserve"> After the bug is reproduced, the input of the program may need to be simplified to make it easier to debug.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