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Compilers harnessed the power of computers to make programming easier by allowing programmers to specify calculations by entering a formula using infix notation.</w:t>
        <w:br/>
        <w:t>It is usually easier to code in "high-level" languages than in "low-level" ones.</w:t>
        <w:br/>
        <w:t>However, Charles Babbage had already written his first program for the Analytical Engine in 1837.</w:t>
        <w:br/>
        <w:t>However, readability is more than just programming style.</w:t>
        <w:br/>
        <w:t>They are the building blocks for all software, from the simplest applications to the most sophisticated ones.</w:t>
        <w:br/>
        <w:t>Also, specific user environment and usage history can make it difficult to reproduce the problem.</w:t>
        <w:br/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>Also, specific user environment and usage history can make it difficult to reproduce the problem.</w:t>
        <w:br/>
        <w:t>However, Charles Babbage had already written his first program for the Analytical Engine in 1837.</w:t>
        <w:br/>
        <w:t>Some text editors such as Emacs allow GDB to be invoked through them, to provide a visual environment.</w:t>
        <w:br/>
        <w:t>The choice of language used is subject to many considerations, such as company policy, suitability to task, availability of third-party packages, or individual preference.</w:t>
        <w:br/>
        <w:t xml:space="preserve"> Popular modeling techniques include Object-Oriented Analysis and Design (OOAD) and Model-Driven Architecture (MDA).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