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Text editors were also developed that allowed changes and corrections to be made much more easily than with punched cards.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Compiling takes the source code from a low-level programming language and converts it into machine code.</w:t>
        <w:br/>
        <w:t>By the late 1960s, data storage devices and computer terminals became inexpensive enough that programs could be created by typing directly into the computers.</w:t>
        <w:br/>
        <w:t>By the late 1960s, data storage devices and computer terminals became inexpensive enough that programs could be created by typing directly into the computers.</w:t>
        <w:br/>
        <w:t>Scripting and breakpointing is also part of this process.</w:t>
        <w:br/>
        <w:t>However, because an assembly language is little more than a different notation for a machine language,  two machines with different instruction sets also have different assembly languages.</w:t>
        <w:br/>
        <w:t xml:space="preserve"> In the 1880s, Herman Hollerith invented the concept of storing data in machine-readable form.</w:t>
        <w:br/>
        <w:t>To produce machine code, the source code must either be compiled or transpiled.</w:t>
        <w:br/>
        <w:t xml:space="preserve"> Computer programmers are those who write computer software.</w:t>
        <w:br/>
        <w:t xml:space="preserve"> After the bug is reproduced, the input of the program may need to be simplified to make it easier to debug.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 xml:space="preserve"> Whatever the approach to development may be, the final program must satisfy some fundamental properties.</w:t>
        <w:br/>
        <w:t>By the late 1960s, data storage devices and computer terminals became inexpensive enough that programs could be created by typing directly into the computers.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