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This can be a non-trivial task, for example as with parallel processes or some unusual software bugs.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This is interpreted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 xml:space="preserve"> It is very difficult to determine what are the most popular modern programming languages.</w:t>
        <w:br/>
        <w:t xml:space="preserve"> Popular modeling techniques include Object-Oriented Analysis and Design (OOAD) and Model-Driven Architecture (MDA).</w:t>
        <w:br/>
        <w:t>Compilers harnessed the power of computers to make programming easier by allowing programmers to specify calculations by entering a formula using infix notation.</w:t>
        <w:br/>
        <w:t>Techniques like Code refactoring can enhance readability.</w:t>
        <w:br/>
        <w:t xml:space="preserve"> Programmable devices have existed for centuries.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