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The choice of language used is subject to many considerations, such as company policy, suitability to task, availability of third-party packages, or individual preference.</w:t>
        <w:br/>
        <w:t>A study found that a few simple readability transformations made code shorter and drastically reduced the time to understand it.</w:t>
        <w:br/>
        <w:t>One approach popular for requirements analysis is Use Case analysis.</w:t>
        <w:br/>
        <w:t>Compilers harnessed the power of computers to make programming easier by allowing programmers to specify calculations by entering a formula using infix notation.</w:t>
        <w:br/>
        <w:t>However, with the concept of the stored-program computer introduced in 1949, both programs and data were stored and manipulated in the same way in computer memory.</w:t>
        <w:br/>
        <w:t>It is usually easier to code in "high-level" languages than in "low-level" ones.</w:t>
        <w:br/>
        <w:t>The choice of language used is subject to many considerations, such as company policy, suitability to task, availability of third-party packages, or individual preference.</w:t>
        <w:br/>
        <w:t>Compiling takes the source code from a low-level programming language and converts it into machine code.</w:t>
        <w:br/>
        <w:t xml:space="preserve"> Code-breaking algorithms have also existed for centuries.</w:t>
        <w:br/>
        <w:t>This is interpreted into machine code.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Trial-and-error/divide-and-conquer is needed: the programmer will try to remove some parts of the original test case and check if the problem still exists.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