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Some text editors such as Emacs allow GDB to be invoked through them, to provide a visual environment.</w:t>
        <w:br/>
        <w:t>To produce machine code, the source code must either be compiled or transpiled.</w:t>
        <w:br/>
        <w:t>By the late 1960s, data storage devices and computer terminals became inexpensive enough that programs could be created by typing directly into the computers.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this purpose, algorithms are classified into orders using so-called Big O notation, which expresses resource use, such as execution time or memory consumption, in terms of the size of an input.</w:t>
        <w:br/>
        <w:t>It affects the aspects of quality above, including portability, usability and most importantly maintainability.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Ideally, the programming language best suited for the task at hand will be selected.</w:t>
        <w:br/>
        <w:t>Normally the first step in debugging is to attempt to reproduce the problem.</w:t>
        <w:br/>
        <w:t>However, because an assembly language is little more than a different notation for a machine language,  two machines with different instruction sets also have different assembly languages.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