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Some languages are more prone to some kinds of faults because their specification does not require compilers to perform as much checking as other languages.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Some text editors such as Emacs allow GDB to be invoked through them, to provide a visual environment.</w:t>
        <w:br/>
        <w:t>Scripting and breakpointing is also part of this process.</w:t>
        <w:br/>
        <w:t>Compilers harnessed the power of computers to make programming easier by allowing programmers to specify calculations by entering a formula using infix notation.</w:t>
        <w:br/>
        <w:t>The Unified Modeling Language (UML) is a notation used for both the OOAD and MDA.</w:t>
        <w:br/>
        <w:t>Unreadable code often leads to bugs, inefficiencies, and duplicated code.</w:t>
        <w:br/>
        <w:t>Techniques like Code refactoring can enhance readability.</w:t>
        <w:br/>
        <w:t>He gave the first description of cryptanalysis by frequency analysis, the earliest code-breaking algorithm.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One approach popular for requirements analysis is Use Case analysis.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