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Some text editors such as Emacs allow GDB to be invoked through them, to provide a visual environment.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There exist a lot of different approaches for each of those tasks.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