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Use of a static code analysis tool can help detect some possible problems.</w:t>
        <w:br/>
        <w:t>However, readability is more than just programming style.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 study found that a few simple readability transformations made code shorter and drastically reduced the time to understand it.</w:t>
        <w:br/>
        <w:t>He gave the first description of cryptanalysis by frequency analysis, the earliest code-breaking algorithm.</w:t>
        <w:br/>
        <w:t>Scripting and breakpointing is also part of this process.</w:t>
        <w:br/>
        <w:t>The choice of language used is subject to many considerations, such as company policy, suitability to task, availability of third-party packages, or individual preference.</w:t>
        <w:br/>
        <w:t>Many factors, having little or nothing to do with the ability of the computer to efficiently compile and execute the code, contribute to readability.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Relatedly, software engineering combines engineering techniques and principles with software development.</w:t>
        <w:br/>
        <w:t>For example, COBOL is still strong in corporate data centers often on large mainframe computers, Fortran in engineering applications, scripting languages in Web development, and C in embedded software.</w:t>
        <w:br/>
        <w:t>As early as the 9th century, a programmable music sequencer was invented by the Persian Banu Musa brothers, who described an automated mechanical flute player in the Book of Ingenious Devices.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