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Expert programmers are familiar with a variety of well-established algorithms and their respective complexities and use this knowledge to choose algorithms that are best suited to the circumstances.</w:t>
        <w:br/>
        <w:t>By the late 1960s, data storage devices and computer terminals became inexpensive enough that programs could be created by typing directly into the computers.</w:t>
        <w:br/>
        <w:t>The following properties are among the most important:</w:t>
        <w:br/>
        <w:br/>
        <w:t xml:space="preserve"> In computer programming, readability refers to the ease with which a human reader can comprehend the purpose, control flow, and operation of source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can be a non-trivial task, for example as with parallel processes or some unusual software bugs.</w:t>
        <w:br/>
        <w:t>Ideally, the programming language best suited for the task at hand will be selected.</w:t>
        <w:br/>
        <w:t>Many applications use a mix of several languages in their construction and use.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factors, having little or nothing to do with the ability of the computer to efficiently compile and execute the code, contribute to readability.</w:t>
        <w:br/>
        <w:t>It affects the aspects of quality above, including portability, usability and most importantly maintainability.</w:t>
        <w:br/>
        <w:t xml:space="preserve"> Programmable devices have existed for centuries.</w:t>
        <w:br/>
        <w:t>Programming involves tasks such as analysis, generating algorithms, profiling algorithms' accuracy and resource consumption, and the implementation of algorithms (usually in a particular programming language, commonly referred to as coding).</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